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8692" w14:textId="77777777" w:rsidR="0031079A" w:rsidRDefault="005C6F66">
      <w:pPr>
        <w:spacing w:after="0" w:line="240" w:lineRule="auto"/>
        <w:jc w:val="both"/>
        <w:rPr>
          <w:rFonts w:ascii="Verdana" w:eastAsia="Verdana" w:hAnsi="Verdana" w:cs="Verdana"/>
          <w:sz w:val="18"/>
          <w:szCs w:val="18"/>
          <w:highlight w:val="green"/>
        </w:rPr>
      </w:pPr>
      <w:r>
        <w:rPr>
          <w:rFonts w:ascii="Verdana" w:eastAsia="Verdana" w:hAnsi="Verdana" w:cs="Verdana"/>
          <w:sz w:val="28"/>
          <w:szCs w:val="28"/>
          <w:highlight w:val="green"/>
        </w:rPr>
        <w:t xml:space="preserve">Ontwerp: </w:t>
      </w:r>
      <w:r>
        <w:rPr>
          <w:rFonts w:ascii="Verdana" w:eastAsia="Verdana" w:hAnsi="Verdana" w:cs="Verdana"/>
          <w:sz w:val="18"/>
          <w:szCs w:val="18"/>
          <w:highlight w:val="green"/>
        </w:rPr>
        <w:t xml:space="preserve"> </w:t>
      </w:r>
      <w:r>
        <w:rPr>
          <w:rFonts w:ascii="Verdana" w:eastAsia="Verdana" w:hAnsi="Verdana" w:cs="Verdana"/>
          <w:b/>
          <w:sz w:val="28"/>
          <w:szCs w:val="28"/>
          <w:highlight w:val="green"/>
        </w:rPr>
        <w:t xml:space="preserve">KENNISNAME </w:t>
      </w:r>
    </w:p>
    <w:p w14:paraId="4217838E" w14:textId="77777777" w:rsidR="0031079A" w:rsidRDefault="0031079A">
      <w:pPr>
        <w:spacing w:after="0" w:line="240" w:lineRule="auto"/>
        <w:jc w:val="both"/>
        <w:rPr>
          <w:rFonts w:ascii="Verdana" w:eastAsia="Verdana" w:hAnsi="Verdana" w:cs="Verdana"/>
          <w:sz w:val="18"/>
          <w:szCs w:val="18"/>
        </w:rPr>
      </w:pPr>
    </w:p>
    <w:p w14:paraId="1B1EA373" w14:textId="77777777" w:rsidR="0031079A" w:rsidRDefault="005C6F66">
      <w:pPr>
        <w:spacing w:after="0" w:line="240" w:lineRule="auto"/>
        <w:rPr>
          <w:rFonts w:ascii="Verdana-Bold" w:eastAsia="Verdana-Bold" w:hAnsi="Verdana-Bold" w:cs="Verdana-Bold"/>
          <w:b/>
          <w:sz w:val="24"/>
          <w:szCs w:val="24"/>
        </w:rPr>
      </w:pPr>
      <w:r>
        <w:rPr>
          <w:rFonts w:ascii="Verdana-Bold" w:eastAsia="Verdana-Bold" w:hAnsi="Verdana-Bold" w:cs="Verdana-Bold"/>
          <w:b/>
          <w:sz w:val="24"/>
          <w:szCs w:val="24"/>
        </w:rPr>
        <w:t>Indien Gemeente: Gemeenteraad (GR)</w:t>
      </w:r>
    </w:p>
    <w:p w14:paraId="0171237C" w14:textId="77777777" w:rsidR="0031079A" w:rsidRDefault="005C6F66">
      <w:pPr>
        <w:spacing w:after="0" w:line="240" w:lineRule="auto"/>
        <w:rPr>
          <w:rFonts w:ascii="Verdana-Bold" w:eastAsia="Verdana-Bold" w:hAnsi="Verdana-Bold" w:cs="Verdana-Bold"/>
          <w:b/>
          <w:sz w:val="24"/>
          <w:szCs w:val="24"/>
        </w:rPr>
      </w:pPr>
      <w:r>
        <w:rPr>
          <w:rFonts w:ascii="Verdana-Bold" w:eastAsia="Verdana-Bold" w:hAnsi="Verdana-Bold" w:cs="Verdana-Bold"/>
          <w:b/>
          <w:sz w:val="24"/>
          <w:szCs w:val="24"/>
        </w:rPr>
        <w:t>Indien OCMW: Raad voor maatschappelijk Welzijn (RMW)</w:t>
      </w:r>
    </w:p>
    <w:p w14:paraId="6C6B0211" w14:textId="77777777" w:rsidR="0031079A" w:rsidRDefault="0031079A">
      <w:pPr>
        <w:spacing w:after="0" w:line="240" w:lineRule="auto"/>
        <w:jc w:val="both"/>
        <w:rPr>
          <w:rFonts w:ascii="Verdana" w:eastAsia="Verdana" w:hAnsi="Verdana" w:cs="Verdana"/>
          <w:b/>
        </w:rPr>
      </w:pPr>
    </w:p>
    <w:p w14:paraId="603B44F4" w14:textId="77777777" w:rsidR="0031079A" w:rsidRDefault="0031079A">
      <w:pPr>
        <w:spacing w:after="0" w:line="240" w:lineRule="auto"/>
        <w:jc w:val="both"/>
        <w:rPr>
          <w:rFonts w:ascii="Verdana" w:eastAsia="Verdana" w:hAnsi="Verdana" w:cs="Verdana"/>
          <w:sz w:val="18"/>
          <w:szCs w:val="18"/>
        </w:rPr>
      </w:pPr>
    </w:p>
    <w:p w14:paraId="5CD136E8"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Besluit Zitting van  </w:t>
      </w:r>
    </w:p>
    <w:p w14:paraId="61343C32" w14:textId="77777777" w:rsidR="0031079A" w:rsidRDefault="0031079A">
      <w:pPr>
        <w:spacing w:after="0" w:line="240" w:lineRule="auto"/>
        <w:jc w:val="both"/>
        <w:rPr>
          <w:rFonts w:ascii="Verdana" w:eastAsia="Verdana" w:hAnsi="Verdana" w:cs="Verdana"/>
          <w:sz w:val="18"/>
          <w:szCs w:val="18"/>
        </w:rPr>
      </w:pPr>
    </w:p>
    <w:p w14:paraId="2BF622CE" w14:textId="77777777" w:rsidR="0031079A" w:rsidRDefault="0031079A">
      <w:pPr>
        <w:spacing w:after="0" w:line="240" w:lineRule="auto"/>
        <w:jc w:val="both"/>
        <w:rPr>
          <w:rFonts w:ascii="Verdana" w:eastAsia="Verdana" w:hAnsi="Verdana" w:cs="Verdana"/>
          <w:sz w:val="18"/>
          <w:szCs w:val="18"/>
        </w:rPr>
      </w:pPr>
    </w:p>
    <w:p w14:paraId="1CA20E1B" w14:textId="77777777" w:rsidR="0031079A" w:rsidRDefault="005C6F66">
      <w:pPr>
        <w:spacing w:after="0" w:line="240" w:lineRule="auto"/>
        <w:jc w:val="both"/>
        <w:rPr>
          <w:rFonts w:ascii="Verdana" w:eastAsia="Verdana" w:hAnsi="Verdana" w:cs="Verdana"/>
          <w:b/>
          <w:sz w:val="18"/>
          <w:szCs w:val="18"/>
          <w:highlight w:val="yellow"/>
        </w:rPr>
      </w:pPr>
      <w:r>
        <w:rPr>
          <w:rFonts w:ascii="Verdana" w:eastAsia="Verdana" w:hAnsi="Verdana" w:cs="Verdana"/>
          <w:sz w:val="18"/>
          <w:szCs w:val="18"/>
          <w:highlight w:val="yellow"/>
        </w:rPr>
        <w:t xml:space="preserve">Onderwerp: </w:t>
      </w:r>
      <w:r>
        <w:rPr>
          <w:rFonts w:ascii="Verdana" w:eastAsia="Verdana" w:hAnsi="Verdana" w:cs="Verdana"/>
          <w:b/>
          <w:sz w:val="18"/>
          <w:szCs w:val="18"/>
          <w:highlight w:val="yellow"/>
        </w:rPr>
        <w:t>Kennisname indiening ESF-dossier 572  - Opstart Gemeenschapsdienst Lokale Besturen</w:t>
      </w:r>
    </w:p>
    <w:p w14:paraId="1003F069" w14:textId="77777777" w:rsidR="0031079A" w:rsidRDefault="0031079A">
      <w:pPr>
        <w:spacing w:after="0" w:line="240" w:lineRule="auto"/>
        <w:jc w:val="both"/>
        <w:rPr>
          <w:rFonts w:ascii="Verdana" w:eastAsia="Verdana" w:hAnsi="Verdana" w:cs="Verdana"/>
          <w:sz w:val="18"/>
          <w:szCs w:val="18"/>
        </w:rPr>
      </w:pPr>
    </w:p>
    <w:p w14:paraId="022AB461"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 </w:t>
      </w:r>
    </w:p>
    <w:p w14:paraId="3B56A49C" w14:textId="77777777" w:rsidR="0031079A" w:rsidRDefault="005C6F66">
      <w:pPr>
        <w:spacing w:after="0" w:line="240" w:lineRule="auto"/>
        <w:jc w:val="both"/>
        <w:rPr>
          <w:rFonts w:ascii="Verdana" w:eastAsia="Verdana" w:hAnsi="Verdana" w:cs="Verdana"/>
          <w:b/>
        </w:rPr>
      </w:pPr>
      <w:r>
        <w:rPr>
          <w:rFonts w:ascii="Verdana" w:eastAsia="Verdana" w:hAnsi="Verdana" w:cs="Verdana"/>
          <w:b/>
        </w:rPr>
        <w:t>Beschrijving</w:t>
      </w:r>
    </w:p>
    <w:p w14:paraId="05F5D76F" w14:textId="77777777" w:rsidR="0031079A" w:rsidRDefault="0031079A">
      <w:pPr>
        <w:spacing w:after="0" w:line="240" w:lineRule="auto"/>
        <w:jc w:val="both"/>
        <w:rPr>
          <w:rFonts w:ascii="Verdana" w:eastAsia="Verdana" w:hAnsi="Verdana" w:cs="Verdana"/>
          <w:sz w:val="18"/>
          <w:szCs w:val="18"/>
        </w:rPr>
      </w:pPr>
    </w:p>
    <w:p w14:paraId="435670E0" w14:textId="77777777" w:rsidR="0031079A" w:rsidRDefault="005C6F66">
      <w:pPr>
        <w:spacing w:after="0" w:line="240" w:lineRule="auto"/>
        <w:jc w:val="both"/>
        <w:rPr>
          <w:rFonts w:ascii="Verdana" w:eastAsia="Verdana" w:hAnsi="Verdana" w:cs="Verdana"/>
          <w:b/>
          <w:sz w:val="18"/>
          <w:szCs w:val="18"/>
        </w:rPr>
      </w:pPr>
      <w:r>
        <w:rPr>
          <w:rFonts w:ascii="Verdana" w:eastAsia="Verdana" w:hAnsi="Verdana" w:cs="Verdana"/>
          <w:b/>
          <w:sz w:val="18"/>
          <w:szCs w:val="18"/>
        </w:rPr>
        <w:t>Juridische grond</w:t>
      </w:r>
    </w:p>
    <w:p w14:paraId="66351A03" w14:textId="77777777" w:rsidR="0031079A" w:rsidRDefault="0031079A">
      <w:pPr>
        <w:spacing w:after="0" w:line="240" w:lineRule="auto"/>
        <w:jc w:val="both"/>
        <w:rPr>
          <w:rFonts w:ascii="Verdana" w:eastAsia="Verdana" w:hAnsi="Verdana" w:cs="Verdana"/>
          <w:sz w:val="18"/>
          <w:szCs w:val="18"/>
        </w:rPr>
      </w:pPr>
    </w:p>
    <w:p w14:paraId="1E33E0B9" w14:textId="77777777" w:rsidR="0031079A" w:rsidRDefault="005C6F66">
      <w:pPr>
        <w:numPr>
          <w:ilvl w:val="0"/>
          <w:numId w:val="1"/>
        </w:numPr>
        <w:spacing w:after="0" w:line="240" w:lineRule="auto"/>
        <w:jc w:val="both"/>
        <w:rPr>
          <w:rFonts w:ascii="Verdana" w:eastAsia="Verdana" w:hAnsi="Verdana" w:cs="Verdana"/>
          <w:sz w:val="18"/>
          <w:szCs w:val="18"/>
        </w:rPr>
      </w:pPr>
      <w:r>
        <w:rPr>
          <w:rFonts w:ascii="Verdana" w:eastAsia="Verdana" w:hAnsi="Verdana" w:cs="Verdana"/>
          <w:sz w:val="18"/>
          <w:szCs w:val="18"/>
        </w:rPr>
        <w:t>Artikel 3 van het besluit van de Vlaamse Regering van 29 april 2022 tot bepaling van de lokale regierol van de gemeenten op het vlak van sociale economie en werk.</w:t>
      </w:r>
    </w:p>
    <w:p w14:paraId="4740E7CF" w14:textId="77777777" w:rsidR="0031079A" w:rsidRDefault="005C6F66">
      <w:pPr>
        <w:numPr>
          <w:ilvl w:val="0"/>
          <w:numId w:val="1"/>
        </w:numPr>
        <w:spacing w:after="0" w:line="240" w:lineRule="auto"/>
        <w:jc w:val="both"/>
        <w:rPr>
          <w:rFonts w:ascii="Verdana" w:eastAsia="Verdana" w:hAnsi="Verdana" w:cs="Verdana"/>
          <w:sz w:val="18"/>
          <w:szCs w:val="18"/>
        </w:rPr>
      </w:pPr>
      <w:r>
        <w:rPr>
          <w:rFonts w:ascii="Verdana" w:eastAsia="Verdana" w:hAnsi="Verdana" w:cs="Verdana"/>
          <w:sz w:val="18"/>
          <w:szCs w:val="18"/>
        </w:rPr>
        <w:t>Conceptnota gemeenschapsdienst voor langdurig werkzoekenden van 10 december 2021.</w:t>
      </w:r>
    </w:p>
    <w:p w14:paraId="2009B86F" w14:textId="77777777" w:rsidR="0031079A" w:rsidRDefault="005C6F66">
      <w:pPr>
        <w:numPr>
          <w:ilvl w:val="0"/>
          <w:numId w:val="1"/>
        </w:numPr>
        <w:spacing w:after="0" w:line="240" w:lineRule="auto"/>
        <w:jc w:val="both"/>
        <w:rPr>
          <w:rFonts w:ascii="Verdana" w:eastAsia="Verdana" w:hAnsi="Verdana" w:cs="Verdana"/>
          <w:sz w:val="18"/>
          <w:szCs w:val="18"/>
        </w:rPr>
      </w:pPr>
      <w:r>
        <w:rPr>
          <w:rFonts w:ascii="Verdana" w:eastAsia="Verdana" w:hAnsi="Verdana" w:cs="Verdana"/>
          <w:sz w:val="18"/>
          <w:szCs w:val="18"/>
        </w:rPr>
        <w:t>Brief Vlaam</w:t>
      </w:r>
      <w:r>
        <w:rPr>
          <w:rFonts w:ascii="Verdana" w:eastAsia="Verdana" w:hAnsi="Verdana" w:cs="Verdana"/>
          <w:sz w:val="18"/>
          <w:szCs w:val="18"/>
        </w:rPr>
        <w:t>se Regering betreffende de gemeenschapsdienst en toekomst wijk-werken van 27 oktober 2022</w:t>
      </w:r>
    </w:p>
    <w:p w14:paraId="2FF531B3" w14:textId="77777777" w:rsidR="0031079A" w:rsidRDefault="0031079A">
      <w:pPr>
        <w:spacing w:after="0" w:line="240" w:lineRule="auto"/>
        <w:jc w:val="both"/>
        <w:rPr>
          <w:rFonts w:ascii="Verdana" w:eastAsia="Verdana" w:hAnsi="Verdana" w:cs="Verdana"/>
          <w:sz w:val="18"/>
          <w:szCs w:val="18"/>
        </w:rPr>
      </w:pPr>
    </w:p>
    <w:p w14:paraId="6C805C6B" w14:textId="77777777" w:rsidR="0031079A" w:rsidRDefault="005C6F66">
      <w:pPr>
        <w:spacing w:after="0" w:line="240" w:lineRule="auto"/>
        <w:jc w:val="both"/>
        <w:rPr>
          <w:rFonts w:ascii="Verdana" w:eastAsia="Verdana" w:hAnsi="Verdana" w:cs="Verdana"/>
          <w:b/>
          <w:sz w:val="18"/>
          <w:szCs w:val="18"/>
        </w:rPr>
      </w:pPr>
      <w:r>
        <w:rPr>
          <w:rFonts w:ascii="Verdana" w:eastAsia="Verdana" w:hAnsi="Verdana" w:cs="Verdana"/>
          <w:b/>
          <w:sz w:val="18"/>
          <w:szCs w:val="18"/>
        </w:rPr>
        <w:t>Aanleiding en context</w:t>
      </w:r>
    </w:p>
    <w:p w14:paraId="13665E26" w14:textId="77777777" w:rsidR="0031079A" w:rsidRDefault="0031079A">
      <w:pPr>
        <w:spacing w:after="0" w:line="240" w:lineRule="auto"/>
        <w:jc w:val="both"/>
        <w:rPr>
          <w:rFonts w:ascii="Verdana" w:eastAsia="Verdana" w:hAnsi="Verdana" w:cs="Verdana"/>
          <w:sz w:val="18"/>
          <w:szCs w:val="18"/>
        </w:rPr>
      </w:pPr>
    </w:p>
    <w:p w14:paraId="59369339"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WAT</w:t>
      </w:r>
    </w:p>
    <w:p w14:paraId="1DBACD1F"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Met REACT EU-middelen willen we de lokale besturen ondersteunen in het opzetten van leerwerkplekken gemeenschapsdienst, in hun bijdrage aa</w:t>
      </w:r>
      <w:r>
        <w:rPr>
          <w:rFonts w:ascii="Verdana" w:eastAsia="Verdana" w:hAnsi="Verdana" w:cs="Verdana"/>
          <w:sz w:val="18"/>
          <w:szCs w:val="18"/>
        </w:rPr>
        <w:t>n de integratie van de meest kwetsbare doelgroepen op de arbeidsmarkt.</w:t>
      </w:r>
    </w:p>
    <w:p w14:paraId="225BE8D1" w14:textId="77777777" w:rsidR="0031079A" w:rsidRDefault="0031079A">
      <w:pPr>
        <w:spacing w:after="0" w:line="240" w:lineRule="auto"/>
        <w:jc w:val="both"/>
        <w:rPr>
          <w:rFonts w:ascii="Verdana" w:eastAsia="Verdana" w:hAnsi="Verdana" w:cs="Verdana"/>
          <w:sz w:val="18"/>
          <w:szCs w:val="18"/>
        </w:rPr>
      </w:pPr>
    </w:p>
    <w:p w14:paraId="3AFF698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 middelen voor deze actie worden voorzien vanuit Prioriteit 7, REACT-EU, Specifieke doelstelling 13 Bevordering van het crisisherstel COVID-19-pandemie.</w:t>
      </w:r>
    </w:p>
    <w:p w14:paraId="737F2997" w14:textId="77777777" w:rsidR="0031079A" w:rsidRDefault="0031079A">
      <w:pPr>
        <w:spacing w:after="0" w:line="240" w:lineRule="auto"/>
        <w:jc w:val="both"/>
        <w:rPr>
          <w:rFonts w:ascii="Verdana" w:eastAsia="Verdana" w:hAnsi="Verdana" w:cs="Verdana"/>
          <w:sz w:val="18"/>
          <w:szCs w:val="18"/>
        </w:rPr>
      </w:pPr>
    </w:p>
    <w:p w14:paraId="706B7ABE"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We voorzien hiervoor in een opstartfinanciering om deze leerwerkplekken te faciliteren en te coördineren met de door de VDAB geselecteerde GLOW-partners. We stimuleren hiermee leerwerkplekken ter beschikking te stellen en hun ondersteuning kwaliteitsvol te</w:t>
      </w:r>
      <w:r>
        <w:rPr>
          <w:rFonts w:ascii="Verdana" w:eastAsia="Verdana" w:hAnsi="Verdana" w:cs="Verdana"/>
          <w:sz w:val="18"/>
          <w:szCs w:val="18"/>
        </w:rPr>
        <w:t xml:space="preserve"> organiseren.</w:t>
      </w:r>
    </w:p>
    <w:p w14:paraId="6650B2A6" w14:textId="77777777" w:rsidR="0031079A" w:rsidRDefault="0031079A">
      <w:pPr>
        <w:spacing w:after="0" w:line="240" w:lineRule="auto"/>
        <w:jc w:val="both"/>
        <w:rPr>
          <w:rFonts w:ascii="Verdana" w:eastAsia="Verdana" w:hAnsi="Verdana" w:cs="Verdana"/>
          <w:sz w:val="18"/>
          <w:szCs w:val="18"/>
        </w:rPr>
      </w:pPr>
    </w:p>
    <w:p w14:paraId="40E26C3C"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WIE</w:t>
      </w:r>
    </w:p>
    <w:p w14:paraId="495F232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Het </w:t>
      </w:r>
      <w:r>
        <w:rPr>
          <w:rFonts w:ascii="Verdana" w:eastAsia="Verdana" w:hAnsi="Verdana" w:cs="Verdana"/>
          <w:i/>
          <w:sz w:val="18"/>
          <w:szCs w:val="18"/>
          <w:u w:val="single"/>
        </w:rPr>
        <w:t>indienen</w:t>
      </w:r>
      <w:r>
        <w:rPr>
          <w:rFonts w:ascii="Verdana" w:eastAsia="Verdana" w:hAnsi="Verdana" w:cs="Verdana"/>
          <w:sz w:val="18"/>
          <w:szCs w:val="18"/>
        </w:rPr>
        <w:t xml:space="preserve"> van een projectvoorstel is voorbehouden voor een individueel Vlaams lokaal bestuur. Ieder lokaal bestuur kan 1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aanvragen, dit kan vanuit de rechtspersoonlijkheid als gemeente/stad/OCMW/ district. </w:t>
      </w:r>
    </w:p>
    <w:p w14:paraId="61D42B1D"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Waar districten va</w:t>
      </w:r>
      <w:r>
        <w:rPr>
          <w:rFonts w:ascii="Verdana" w:eastAsia="Verdana" w:hAnsi="Verdana" w:cs="Verdana"/>
          <w:sz w:val="18"/>
          <w:szCs w:val="18"/>
        </w:rPr>
        <w:t>n toepassing zijn, kan via de wettelijke basis erover een dossier per district worden ingediend.</w:t>
      </w:r>
    </w:p>
    <w:p w14:paraId="2386EE39" w14:textId="77777777" w:rsidR="0031079A" w:rsidRDefault="0031079A">
      <w:pPr>
        <w:spacing w:after="0" w:line="240" w:lineRule="auto"/>
        <w:jc w:val="both"/>
        <w:rPr>
          <w:rFonts w:ascii="Verdana" w:eastAsia="Verdana" w:hAnsi="Verdana" w:cs="Verdana"/>
          <w:sz w:val="18"/>
          <w:szCs w:val="18"/>
        </w:rPr>
      </w:pPr>
    </w:p>
    <w:p w14:paraId="0A6DCFC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De </w:t>
      </w:r>
      <w:r>
        <w:rPr>
          <w:rFonts w:ascii="Verdana" w:eastAsia="Verdana" w:hAnsi="Verdana" w:cs="Verdana"/>
          <w:i/>
          <w:sz w:val="18"/>
          <w:szCs w:val="18"/>
          <w:u w:val="single"/>
        </w:rPr>
        <w:t>uitvoering</w:t>
      </w:r>
      <w:r>
        <w:rPr>
          <w:rFonts w:ascii="Verdana" w:eastAsia="Verdana" w:hAnsi="Verdana" w:cs="Verdana"/>
          <w:sz w:val="18"/>
          <w:szCs w:val="18"/>
        </w:rPr>
        <w:t xml:space="preserve"> van het projectvoorstel kan toegewezen worden aan de regisseur sociale economie en werk, de wijk-werkorganisator, het intergemeentelijk samenwer</w:t>
      </w:r>
      <w:r>
        <w:rPr>
          <w:rFonts w:ascii="Verdana" w:eastAsia="Verdana" w:hAnsi="Verdana" w:cs="Verdana"/>
          <w:sz w:val="18"/>
          <w:szCs w:val="18"/>
        </w:rPr>
        <w:t xml:space="preserve">kingsverband, de streekintercommunale,... </w:t>
      </w:r>
    </w:p>
    <w:p w14:paraId="31C81128" w14:textId="77777777" w:rsidR="0031079A" w:rsidRDefault="0031079A">
      <w:pPr>
        <w:spacing w:after="0" w:line="240" w:lineRule="auto"/>
        <w:jc w:val="both"/>
        <w:rPr>
          <w:rFonts w:ascii="Verdana" w:eastAsia="Verdana" w:hAnsi="Verdana" w:cs="Verdana"/>
          <w:sz w:val="18"/>
          <w:szCs w:val="18"/>
        </w:rPr>
      </w:pPr>
    </w:p>
    <w:p w14:paraId="6346F08A"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DOELGROEP</w:t>
      </w:r>
    </w:p>
    <w:p w14:paraId="3386C32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De doelgroep waarvoor deze opstart van gemeenschapsdienst bedoeld is, is deze van werkzoekenden met een grote afstand tot de arbeidsmarkt waarvoor een intensief traject aangewezen is. </w:t>
      </w:r>
    </w:p>
    <w:p w14:paraId="53F8E9DC" w14:textId="77777777" w:rsidR="0031079A" w:rsidRDefault="0031079A">
      <w:pPr>
        <w:spacing w:after="0" w:line="240" w:lineRule="auto"/>
        <w:jc w:val="both"/>
        <w:rPr>
          <w:rFonts w:ascii="Verdana" w:eastAsia="Verdana" w:hAnsi="Verdana" w:cs="Verdana"/>
          <w:sz w:val="18"/>
          <w:szCs w:val="18"/>
        </w:rPr>
      </w:pPr>
    </w:p>
    <w:p w14:paraId="0F307617"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 doelgroep bes</w:t>
      </w:r>
      <w:r>
        <w:rPr>
          <w:rFonts w:ascii="Verdana" w:eastAsia="Verdana" w:hAnsi="Verdana" w:cs="Verdana"/>
          <w:sz w:val="18"/>
          <w:szCs w:val="18"/>
        </w:rPr>
        <w:t>taat uit uitkeringsgerechtigde werkzoekenden die minstens 2 jaar werkzoekend zijn en die nood hebben aan een  intensieve begeleiding en bemiddeling via inzet van werkplekleren om de brug naar duurzame tewerkstelling te maken. Deze nood vloeit voort uit onv</w:t>
      </w:r>
      <w:r>
        <w:rPr>
          <w:rFonts w:ascii="Verdana" w:eastAsia="Verdana" w:hAnsi="Verdana" w:cs="Verdana"/>
          <w:sz w:val="18"/>
          <w:szCs w:val="18"/>
        </w:rPr>
        <w:t xml:space="preserve">oldoende arbeidsmatige zelfredzaamheid. </w:t>
      </w:r>
    </w:p>
    <w:p w14:paraId="512F09AD" w14:textId="77777777" w:rsidR="0031079A" w:rsidRDefault="0031079A">
      <w:pPr>
        <w:spacing w:after="0" w:line="240" w:lineRule="auto"/>
        <w:jc w:val="both"/>
        <w:rPr>
          <w:rFonts w:ascii="Verdana" w:eastAsia="Verdana" w:hAnsi="Verdana" w:cs="Verdana"/>
          <w:sz w:val="18"/>
          <w:szCs w:val="18"/>
        </w:rPr>
      </w:pPr>
    </w:p>
    <w:p w14:paraId="149309F7"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Deze werkzoekenden binnen gemeenschapsdienst hebben daarenboven nood aan een laag intensieve opstap via een competentieversterkende actie (</w:t>
      </w:r>
      <w:proofErr w:type="spellStart"/>
      <w:r>
        <w:rPr>
          <w:rFonts w:ascii="Verdana" w:eastAsia="Verdana" w:hAnsi="Verdana" w:cs="Verdana"/>
          <w:sz w:val="18"/>
          <w:szCs w:val="18"/>
        </w:rPr>
        <w:t>werkervaringstage</w:t>
      </w:r>
      <w:proofErr w:type="spellEnd"/>
      <w:r>
        <w:rPr>
          <w:rFonts w:ascii="Verdana" w:eastAsia="Verdana" w:hAnsi="Verdana" w:cs="Verdana"/>
          <w:sz w:val="18"/>
          <w:szCs w:val="18"/>
        </w:rPr>
        <w:t xml:space="preserve"> min 32u per maand; max 64u per maand) binnen dit traject </w:t>
      </w:r>
      <w:r>
        <w:rPr>
          <w:rFonts w:ascii="Verdana" w:eastAsia="Verdana" w:hAnsi="Verdana" w:cs="Verdana"/>
          <w:sz w:val="18"/>
          <w:szCs w:val="18"/>
        </w:rPr>
        <w:t>van werkplekleren.</w:t>
      </w:r>
    </w:p>
    <w:p w14:paraId="67F21395" w14:textId="77777777" w:rsidR="0031079A" w:rsidRDefault="0031079A">
      <w:pPr>
        <w:spacing w:after="0" w:line="240" w:lineRule="auto"/>
        <w:jc w:val="both"/>
        <w:rPr>
          <w:rFonts w:ascii="Verdana" w:eastAsia="Verdana" w:hAnsi="Verdana" w:cs="Verdana"/>
          <w:sz w:val="18"/>
          <w:szCs w:val="18"/>
        </w:rPr>
      </w:pPr>
    </w:p>
    <w:p w14:paraId="4CE62693"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HOE</w:t>
      </w:r>
    </w:p>
    <w:p w14:paraId="3462C16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lastRenderedPageBreak/>
        <w:t xml:space="preserve">Een individueel lokaal bestuur moet een projectvoorstel indienen via de online ESF-applicatie </w:t>
      </w:r>
      <w:hyperlink r:id="rId8">
        <w:r>
          <w:rPr>
            <w:rFonts w:ascii="Verdana" w:eastAsia="Verdana" w:hAnsi="Verdana" w:cs="Verdana"/>
            <w:color w:val="1155CC"/>
            <w:sz w:val="18"/>
            <w:szCs w:val="18"/>
            <w:u w:val="single"/>
          </w:rPr>
          <w:t>https://esf.vlaanderen.be/</w:t>
        </w:r>
      </w:hyperlink>
      <w:r>
        <w:rPr>
          <w:rFonts w:ascii="Verdana" w:eastAsia="Verdana" w:hAnsi="Verdana" w:cs="Verdana"/>
          <w:sz w:val="18"/>
          <w:szCs w:val="18"/>
        </w:rPr>
        <w:t xml:space="preserve"> </w:t>
      </w:r>
    </w:p>
    <w:p w14:paraId="4BA14FE6"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Een projectvoorstel wordt samengesteld door enerzijds het engagement om de vereiste acties uit te voeren en anderzijds het opvragen van de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hiertoe. </w:t>
      </w:r>
    </w:p>
    <w:p w14:paraId="06830419" w14:textId="77777777" w:rsidR="0031079A" w:rsidRDefault="0031079A">
      <w:pPr>
        <w:spacing w:after="0" w:line="240" w:lineRule="auto"/>
        <w:jc w:val="both"/>
        <w:rPr>
          <w:rFonts w:ascii="Verdana" w:eastAsia="Verdana" w:hAnsi="Verdana" w:cs="Verdana"/>
          <w:sz w:val="18"/>
          <w:szCs w:val="18"/>
        </w:rPr>
      </w:pPr>
    </w:p>
    <w:p w14:paraId="6B40E8E1"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TIMING</w:t>
      </w:r>
    </w:p>
    <w:p w14:paraId="3432E99D"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U kunt een projectvoorstel binnen deze oproep indienen vanaf 1 januari 2023 tot en met vri</w:t>
      </w:r>
      <w:r>
        <w:rPr>
          <w:rFonts w:ascii="Verdana" w:eastAsia="Verdana" w:hAnsi="Verdana" w:cs="Verdana"/>
          <w:sz w:val="18"/>
          <w:szCs w:val="18"/>
        </w:rPr>
        <w:t>jdag 31 maart 2023 (middernacht) (uiterste indieningsdatum).</w:t>
      </w:r>
    </w:p>
    <w:p w14:paraId="2038F8D7" w14:textId="77777777" w:rsidR="0031079A" w:rsidRDefault="0031079A">
      <w:pPr>
        <w:spacing w:after="0" w:line="240" w:lineRule="auto"/>
        <w:jc w:val="both"/>
        <w:rPr>
          <w:rFonts w:ascii="Verdana" w:eastAsia="Verdana" w:hAnsi="Verdana" w:cs="Verdana"/>
          <w:sz w:val="18"/>
          <w:szCs w:val="18"/>
        </w:rPr>
      </w:pPr>
    </w:p>
    <w:p w14:paraId="44AF0A8D"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Begin februari, maart en april 2023 worden de ingediende projectvoorstellen telkens in behandeling genomen. </w:t>
      </w:r>
    </w:p>
    <w:p w14:paraId="0A3490C7" w14:textId="77777777" w:rsidR="0031079A" w:rsidRDefault="0031079A">
      <w:pPr>
        <w:spacing w:after="0" w:line="240" w:lineRule="auto"/>
        <w:jc w:val="both"/>
        <w:rPr>
          <w:rFonts w:ascii="Verdana" w:eastAsia="Verdana" w:hAnsi="Verdana" w:cs="Verdana"/>
          <w:sz w:val="18"/>
          <w:szCs w:val="18"/>
        </w:rPr>
      </w:pPr>
    </w:p>
    <w:p w14:paraId="1DA2D5B2"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 beslissing wordt bekendgemaakt op het einde van die respectievelijke kalendermaan</w:t>
      </w:r>
      <w:r>
        <w:rPr>
          <w:rFonts w:ascii="Verdana" w:eastAsia="Verdana" w:hAnsi="Verdana" w:cs="Verdana"/>
          <w:sz w:val="18"/>
          <w:szCs w:val="18"/>
        </w:rPr>
        <w:t xml:space="preserve">den. </w:t>
      </w:r>
    </w:p>
    <w:p w14:paraId="0AECD85F" w14:textId="77777777" w:rsidR="0031079A" w:rsidRDefault="0031079A">
      <w:pPr>
        <w:spacing w:after="0" w:line="240" w:lineRule="auto"/>
        <w:jc w:val="both"/>
        <w:rPr>
          <w:rFonts w:ascii="Verdana" w:eastAsia="Verdana" w:hAnsi="Verdana" w:cs="Verdana"/>
          <w:sz w:val="18"/>
          <w:szCs w:val="18"/>
        </w:rPr>
      </w:pPr>
    </w:p>
    <w:p w14:paraId="3B356BA9"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Het goedgekeurde project in deze oproep kent een uitvoeringstermijn tot uiterlijk 31 december 2023. Verlenging van de uitvoeringsperiode en/of uitstel van het opleveren van de vereiste output is niet mogelijk.</w:t>
      </w:r>
    </w:p>
    <w:p w14:paraId="0B700040" w14:textId="77777777" w:rsidR="0031079A" w:rsidRDefault="0031079A">
      <w:pPr>
        <w:spacing w:after="0" w:line="240" w:lineRule="auto"/>
        <w:jc w:val="both"/>
        <w:rPr>
          <w:rFonts w:ascii="Verdana" w:eastAsia="Verdana" w:hAnsi="Verdana" w:cs="Verdana"/>
          <w:sz w:val="18"/>
          <w:szCs w:val="18"/>
        </w:rPr>
      </w:pPr>
    </w:p>
    <w:p w14:paraId="62C64029" w14:textId="77777777" w:rsidR="0031079A" w:rsidRDefault="005C6F66">
      <w:pPr>
        <w:spacing w:after="0" w:line="240" w:lineRule="auto"/>
        <w:jc w:val="both"/>
        <w:rPr>
          <w:rFonts w:ascii="Verdana" w:eastAsia="Verdana" w:hAnsi="Verdana" w:cs="Verdana"/>
          <w:b/>
          <w:sz w:val="18"/>
          <w:szCs w:val="18"/>
        </w:rPr>
      </w:pPr>
      <w:r>
        <w:rPr>
          <w:rFonts w:ascii="Verdana" w:eastAsia="Verdana" w:hAnsi="Verdana" w:cs="Verdana"/>
          <w:b/>
          <w:sz w:val="18"/>
          <w:szCs w:val="18"/>
        </w:rPr>
        <w:t>Vereisten</w:t>
      </w:r>
    </w:p>
    <w:p w14:paraId="6A98457A" w14:textId="77777777" w:rsidR="0031079A" w:rsidRDefault="0031079A">
      <w:pPr>
        <w:spacing w:after="0" w:line="240" w:lineRule="auto"/>
        <w:jc w:val="both"/>
        <w:rPr>
          <w:rFonts w:ascii="Verdana" w:eastAsia="Verdana" w:hAnsi="Verdana" w:cs="Verdana"/>
          <w:sz w:val="18"/>
          <w:szCs w:val="18"/>
        </w:rPr>
      </w:pPr>
    </w:p>
    <w:p w14:paraId="6EAE3854"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ACTIES EN OUTPUT</w:t>
      </w:r>
    </w:p>
    <w:p w14:paraId="2CB3D4A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Deze doelgroep wordt via leerwerkplekken ingeschakeld binnen de lokale diensten en wordt zo in de samenwerking tussen de GLOW-partner en het lokaal bestuur ondersteund richting arbeidsmarkt.</w:t>
      </w:r>
    </w:p>
    <w:p w14:paraId="09F18799" w14:textId="77777777" w:rsidR="0031079A" w:rsidRDefault="0031079A">
      <w:pPr>
        <w:spacing w:after="0" w:line="240" w:lineRule="auto"/>
        <w:jc w:val="both"/>
        <w:rPr>
          <w:rFonts w:ascii="Verdana" w:eastAsia="Verdana" w:hAnsi="Verdana" w:cs="Verdana"/>
          <w:sz w:val="18"/>
          <w:szCs w:val="18"/>
        </w:rPr>
      </w:pPr>
    </w:p>
    <w:p w14:paraId="11EBC144"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Volgende vereiste output worden binnen deze ops</w:t>
      </w:r>
      <w:r>
        <w:rPr>
          <w:rFonts w:ascii="Verdana" w:eastAsia="Verdana" w:hAnsi="Verdana" w:cs="Verdana"/>
          <w:sz w:val="18"/>
          <w:szCs w:val="18"/>
        </w:rPr>
        <w:t>tartperiode gerealiseerd:</w:t>
      </w:r>
    </w:p>
    <w:p w14:paraId="1C620886" w14:textId="77777777" w:rsidR="0031079A" w:rsidRDefault="005C6F66">
      <w:pPr>
        <w:numPr>
          <w:ilvl w:val="0"/>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Een actief aanbod van competentieversterkende leerwerkplekken aan de GLOW-partner (aantal bepaald via keuze voor small, medium, large of extra large).</w:t>
      </w:r>
    </w:p>
    <w:p w14:paraId="77EDC6B5" w14:textId="77777777" w:rsidR="0031079A" w:rsidRDefault="005C6F66">
      <w:pPr>
        <w:numPr>
          <w:ilvl w:val="0"/>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Een plan van aanpak met rollen en verantwoordelijkheden (</w:t>
      </w:r>
      <w:proofErr w:type="spellStart"/>
      <w:r>
        <w:rPr>
          <w:rFonts w:ascii="Verdana" w:eastAsia="Verdana" w:hAnsi="Verdana" w:cs="Verdana"/>
          <w:sz w:val="18"/>
          <w:szCs w:val="18"/>
        </w:rPr>
        <w:t>governance</w:t>
      </w:r>
      <w:proofErr w:type="spellEnd"/>
      <w:r>
        <w:rPr>
          <w:rFonts w:ascii="Verdana" w:eastAsia="Verdana" w:hAnsi="Verdana" w:cs="Verdana"/>
          <w:sz w:val="18"/>
          <w:szCs w:val="18"/>
        </w:rPr>
        <w:t>), dat het u</w:t>
      </w:r>
      <w:r>
        <w:rPr>
          <w:rFonts w:ascii="Verdana" w:eastAsia="Verdana" w:hAnsi="Verdana" w:cs="Verdana"/>
          <w:sz w:val="18"/>
          <w:szCs w:val="18"/>
        </w:rPr>
        <w:t xml:space="preserve">itbouwen van de relatie met de GLOW-partners, in functie van het ter beschikking stellen van leerwerkplekken voor gemeenschapsdienst, faciliteert. </w:t>
      </w:r>
    </w:p>
    <w:p w14:paraId="77ECF946" w14:textId="77777777" w:rsidR="0031079A" w:rsidRDefault="005C6F66">
      <w:pPr>
        <w:spacing w:after="0" w:line="240" w:lineRule="auto"/>
        <w:ind w:left="720"/>
        <w:jc w:val="both"/>
        <w:rPr>
          <w:rFonts w:ascii="Verdana" w:eastAsia="Verdana" w:hAnsi="Verdana" w:cs="Verdana"/>
          <w:i/>
          <w:sz w:val="18"/>
          <w:szCs w:val="18"/>
        </w:rPr>
      </w:pPr>
      <w:r>
        <w:rPr>
          <w:rFonts w:ascii="Verdana" w:eastAsia="Verdana" w:hAnsi="Verdana" w:cs="Verdana"/>
          <w:i/>
          <w:sz w:val="18"/>
          <w:szCs w:val="18"/>
        </w:rPr>
        <w:t>Bewijs van 1+2 via een per unieke leerwerkplek gemeenschapsdienst ingevulde fiche, afgetekend door de direct</w:t>
      </w:r>
      <w:r>
        <w:rPr>
          <w:rFonts w:ascii="Verdana" w:eastAsia="Verdana" w:hAnsi="Verdana" w:cs="Verdana"/>
          <w:i/>
          <w:sz w:val="18"/>
          <w:szCs w:val="18"/>
        </w:rPr>
        <w:t>e leidinggevende van de mentor, verantwoordelijke HR of de algemeen directeur.</w:t>
      </w:r>
    </w:p>
    <w:p w14:paraId="5923E572" w14:textId="77777777" w:rsidR="0031079A" w:rsidRDefault="005C6F66">
      <w:pPr>
        <w:numPr>
          <w:ilvl w:val="0"/>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Het opleiden van mentoren (interne leerwerkplekbegeleiders) binnen het personeelsbestand van het lokaal bestuur (aantal bepaald via keuze voor small, medium, large of extra larg</w:t>
      </w:r>
      <w:r>
        <w:rPr>
          <w:rFonts w:ascii="Verdana" w:eastAsia="Verdana" w:hAnsi="Verdana" w:cs="Verdana"/>
          <w:sz w:val="18"/>
          <w:szCs w:val="18"/>
        </w:rPr>
        <w:t xml:space="preserve">e). </w:t>
      </w:r>
    </w:p>
    <w:p w14:paraId="5126195C" w14:textId="77777777" w:rsidR="0031079A" w:rsidRDefault="005C6F66">
      <w:pPr>
        <w:spacing w:after="0" w:line="240" w:lineRule="auto"/>
        <w:ind w:left="720"/>
        <w:jc w:val="both"/>
        <w:rPr>
          <w:rFonts w:ascii="Verdana" w:eastAsia="Verdana" w:hAnsi="Verdana" w:cs="Verdana"/>
          <w:i/>
          <w:sz w:val="18"/>
          <w:szCs w:val="18"/>
        </w:rPr>
      </w:pPr>
      <w:r>
        <w:rPr>
          <w:rFonts w:ascii="Verdana" w:eastAsia="Verdana" w:hAnsi="Verdana" w:cs="Verdana"/>
          <w:i/>
          <w:sz w:val="18"/>
          <w:szCs w:val="18"/>
        </w:rPr>
        <w:t>Bewijs via certificaat van deelname.</w:t>
      </w:r>
    </w:p>
    <w:p w14:paraId="3DA7BB2F" w14:textId="77777777" w:rsidR="0031079A" w:rsidRDefault="0031079A">
      <w:pPr>
        <w:spacing w:after="0" w:line="240" w:lineRule="auto"/>
        <w:ind w:left="720"/>
        <w:jc w:val="both"/>
        <w:rPr>
          <w:rFonts w:ascii="Verdana" w:eastAsia="Verdana" w:hAnsi="Verdana" w:cs="Verdana"/>
          <w:i/>
          <w:sz w:val="18"/>
          <w:szCs w:val="18"/>
        </w:rPr>
      </w:pPr>
    </w:p>
    <w:p w14:paraId="66C4CEF7"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Deze output is rechtstreeks gekoppeld aan de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w:t>
      </w:r>
    </w:p>
    <w:p w14:paraId="2744D238"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De methode van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houdt een alles of niets principe in. Bij het voldoen aan de verwachte output in relatie met het gekozen engagement (S/M/L/XL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blijft de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toegekend.  </w:t>
      </w:r>
    </w:p>
    <w:p w14:paraId="164164D2"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Bij het niet of deels voldoen aan de verwachte output wordt de </w:t>
      </w:r>
      <w:proofErr w:type="spellStart"/>
      <w:r>
        <w:rPr>
          <w:rFonts w:ascii="Verdana" w:eastAsia="Verdana" w:hAnsi="Verdana" w:cs="Verdana"/>
          <w:sz w:val="18"/>
          <w:szCs w:val="18"/>
        </w:rPr>
        <w:t>l</w:t>
      </w:r>
      <w:r>
        <w:rPr>
          <w:rFonts w:ascii="Verdana" w:eastAsia="Verdana" w:hAnsi="Verdana" w:cs="Verdana"/>
          <w:sz w:val="18"/>
          <w:szCs w:val="18"/>
        </w:rPr>
        <w:t>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niet toegekend en het voorschot (80%) integraal teruggevorderd.</w:t>
      </w:r>
    </w:p>
    <w:p w14:paraId="65C581C9" w14:textId="77777777" w:rsidR="0031079A" w:rsidRDefault="0031079A">
      <w:pPr>
        <w:spacing w:after="0" w:line="240" w:lineRule="auto"/>
        <w:jc w:val="both"/>
        <w:rPr>
          <w:rFonts w:ascii="Verdana" w:eastAsia="Verdana" w:hAnsi="Verdana" w:cs="Verdana"/>
          <w:sz w:val="18"/>
          <w:szCs w:val="18"/>
        </w:rPr>
      </w:pPr>
    </w:p>
    <w:p w14:paraId="6510F062" w14:textId="77777777" w:rsidR="0031079A" w:rsidRDefault="0031079A">
      <w:pPr>
        <w:spacing w:after="0" w:line="240" w:lineRule="auto"/>
        <w:jc w:val="both"/>
        <w:rPr>
          <w:rFonts w:ascii="Verdana" w:eastAsia="Verdana" w:hAnsi="Verdana" w:cs="Verdana"/>
          <w:sz w:val="18"/>
          <w:szCs w:val="18"/>
        </w:rPr>
      </w:pPr>
    </w:p>
    <w:p w14:paraId="55E2BCD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Een lokaal bestuur kiest één van onderstaande formules van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als te behalen output: </w:t>
      </w:r>
    </w:p>
    <w:p w14:paraId="76724FE6" w14:textId="77777777" w:rsidR="0031079A" w:rsidRDefault="0031079A">
      <w:pPr>
        <w:spacing w:after="0" w:line="240" w:lineRule="auto"/>
        <w:jc w:val="both"/>
        <w:rPr>
          <w:rFonts w:ascii="Verdana" w:eastAsia="Verdana" w:hAnsi="Verdana" w:cs="Verdana"/>
          <w:sz w:val="18"/>
          <w:szCs w:val="18"/>
        </w:rPr>
      </w:pPr>
    </w:p>
    <w:tbl>
      <w:tblPr>
        <w:tblStyle w:val="a"/>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gridCol w:w="2268"/>
        <w:gridCol w:w="2268"/>
      </w:tblGrid>
      <w:tr w:rsidR="0031079A" w14:paraId="52965BA3" w14:textId="77777777">
        <w:tc>
          <w:tcPr>
            <w:tcW w:w="2268" w:type="dxa"/>
            <w:shd w:val="clear" w:color="auto" w:fill="auto"/>
            <w:tcMar>
              <w:top w:w="100" w:type="dxa"/>
              <w:left w:w="100" w:type="dxa"/>
              <w:bottom w:w="100" w:type="dxa"/>
              <w:right w:w="100" w:type="dxa"/>
            </w:tcMar>
          </w:tcPr>
          <w:p w14:paraId="1A7030AE" w14:textId="77777777" w:rsidR="0031079A" w:rsidRDefault="0031079A">
            <w:pPr>
              <w:widowControl w:val="0"/>
              <w:spacing w:after="0" w:line="240" w:lineRule="auto"/>
              <w:jc w:val="both"/>
              <w:rPr>
                <w:rFonts w:ascii="Verdana" w:eastAsia="Verdana" w:hAnsi="Verdana" w:cs="Verdana"/>
                <w:sz w:val="18"/>
                <w:szCs w:val="18"/>
              </w:rPr>
            </w:pPr>
          </w:p>
        </w:tc>
        <w:tc>
          <w:tcPr>
            <w:tcW w:w="2268" w:type="dxa"/>
            <w:shd w:val="clear" w:color="auto" w:fill="auto"/>
            <w:tcMar>
              <w:top w:w="100" w:type="dxa"/>
              <w:left w:w="100" w:type="dxa"/>
              <w:bottom w:w="100" w:type="dxa"/>
              <w:right w:w="100" w:type="dxa"/>
            </w:tcMar>
          </w:tcPr>
          <w:p w14:paraId="5D083C14"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Aantal leerwerkplekken</w:t>
            </w:r>
          </w:p>
        </w:tc>
        <w:tc>
          <w:tcPr>
            <w:tcW w:w="2268" w:type="dxa"/>
            <w:shd w:val="clear" w:color="auto" w:fill="auto"/>
            <w:tcMar>
              <w:top w:w="100" w:type="dxa"/>
              <w:left w:w="100" w:type="dxa"/>
              <w:bottom w:w="100" w:type="dxa"/>
              <w:right w:w="100" w:type="dxa"/>
            </w:tcMar>
          </w:tcPr>
          <w:p w14:paraId="1FF5C64D"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Minimum aantal opgeleide mentoren</w:t>
            </w:r>
          </w:p>
        </w:tc>
        <w:tc>
          <w:tcPr>
            <w:tcW w:w="2268" w:type="dxa"/>
            <w:shd w:val="clear" w:color="auto" w:fill="auto"/>
            <w:tcMar>
              <w:top w:w="100" w:type="dxa"/>
              <w:left w:w="100" w:type="dxa"/>
              <w:bottom w:w="100" w:type="dxa"/>
              <w:right w:w="100" w:type="dxa"/>
            </w:tcMar>
          </w:tcPr>
          <w:p w14:paraId="32C53531" w14:textId="77777777" w:rsidR="0031079A" w:rsidRDefault="005C6F66">
            <w:pPr>
              <w:spacing w:after="0" w:line="240" w:lineRule="auto"/>
              <w:jc w:val="both"/>
              <w:rPr>
                <w:rFonts w:ascii="Verdana" w:eastAsia="Verdana" w:hAnsi="Verdana" w:cs="Verdana"/>
                <w:sz w:val="18"/>
                <w:szCs w:val="18"/>
              </w:rPr>
            </w:pP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p>
        </w:tc>
      </w:tr>
      <w:tr w:rsidR="0031079A" w14:paraId="68371E56" w14:textId="77777777">
        <w:tc>
          <w:tcPr>
            <w:tcW w:w="2268" w:type="dxa"/>
            <w:shd w:val="clear" w:color="auto" w:fill="auto"/>
            <w:tcMar>
              <w:top w:w="100" w:type="dxa"/>
              <w:left w:w="100" w:type="dxa"/>
              <w:bottom w:w="100" w:type="dxa"/>
              <w:right w:w="100" w:type="dxa"/>
            </w:tcMar>
          </w:tcPr>
          <w:p w14:paraId="6D4656F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Small (S)</w:t>
            </w:r>
          </w:p>
        </w:tc>
        <w:tc>
          <w:tcPr>
            <w:tcW w:w="2268" w:type="dxa"/>
            <w:shd w:val="clear" w:color="auto" w:fill="auto"/>
            <w:tcMar>
              <w:top w:w="100" w:type="dxa"/>
              <w:left w:w="100" w:type="dxa"/>
              <w:bottom w:w="100" w:type="dxa"/>
              <w:right w:w="100" w:type="dxa"/>
            </w:tcMar>
          </w:tcPr>
          <w:p w14:paraId="3E82A73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3</w:t>
            </w:r>
          </w:p>
        </w:tc>
        <w:tc>
          <w:tcPr>
            <w:tcW w:w="2268" w:type="dxa"/>
            <w:shd w:val="clear" w:color="auto" w:fill="auto"/>
            <w:tcMar>
              <w:top w:w="100" w:type="dxa"/>
              <w:left w:w="100" w:type="dxa"/>
              <w:bottom w:w="100" w:type="dxa"/>
              <w:right w:w="100" w:type="dxa"/>
            </w:tcMar>
          </w:tcPr>
          <w:p w14:paraId="35556AB4"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1</w:t>
            </w:r>
          </w:p>
        </w:tc>
        <w:tc>
          <w:tcPr>
            <w:tcW w:w="2268" w:type="dxa"/>
          </w:tcPr>
          <w:p w14:paraId="28EB5C0D" w14:textId="77777777" w:rsidR="0031079A" w:rsidRDefault="005C6F66">
            <w:pPr>
              <w:pBdr>
                <w:top w:val="nil"/>
                <w:left w:val="nil"/>
                <w:bottom w:val="nil"/>
                <w:right w:val="nil"/>
                <w:between w:val="nil"/>
              </w:pBdr>
              <w:spacing w:after="0" w:line="240" w:lineRule="auto"/>
              <w:jc w:val="right"/>
              <w:rPr>
                <w:rFonts w:ascii="Verdana" w:eastAsia="Verdana" w:hAnsi="Verdana" w:cs="Verdana"/>
                <w:sz w:val="18"/>
                <w:szCs w:val="18"/>
              </w:rPr>
            </w:pPr>
            <w:r>
              <w:rPr>
                <w:rFonts w:ascii="Verdana" w:eastAsia="Verdana" w:hAnsi="Verdana" w:cs="Verdana"/>
                <w:sz w:val="18"/>
                <w:szCs w:val="18"/>
              </w:rPr>
              <w:t>7.396,84 euro</w:t>
            </w:r>
          </w:p>
        </w:tc>
      </w:tr>
      <w:tr w:rsidR="0031079A" w14:paraId="6C15990F" w14:textId="77777777">
        <w:tc>
          <w:tcPr>
            <w:tcW w:w="2268" w:type="dxa"/>
            <w:shd w:val="clear" w:color="auto" w:fill="auto"/>
            <w:tcMar>
              <w:top w:w="100" w:type="dxa"/>
              <w:left w:w="100" w:type="dxa"/>
              <w:bottom w:w="100" w:type="dxa"/>
              <w:right w:w="100" w:type="dxa"/>
            </w:tcMar>
          </w:tcPr>
          <w:p w14:paraId="2593AB4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Medium (M)</w:t>
            </w:r>
          </w:p>
        </w:tc>
        <w:tc>
          <w:tcPr>
            <w:tcW w:w="2268" w:type="dxa"/>
            <w:shd w:val="clear" w:color="auto" w:fill="auto"/>
            <w:tcMar>
              <w:top w:w="100" w:type="dxa"/>
              <w:left w:w="100" w:type="dxa"/>
              <w:bottom w:w="100" w:type="dxa"/>
              <w:right w:w="100" w:type="dxa"/>
            </w:tcMar>
          </w:tcPr>
          <w:p w14:paraId="2D1D803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6</w:t>
            </w:r>
          </w:p>
        </w:tc>
        <w:tc>
          <w:tcPr>
            <w:tcW w:w="2268" w:type="dxa"/>
            <w:shd w:val="clear" w:color="auto" w:fill="auto"/>
            <w:tcMar>
              <w:top w:w="100" w:type="dxa"/>
              <w:left w:w="100" w:type="dxa"/>
              <w:bottom w:w="100" w:type="dxa"/>
              <w:right w:w="100" w:type="dxa"/>
            </w:tcMar>
          </w:tcPr>
          <w:p w14:paraId="5FCC2F71"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2</w:t>
            </w:r>
          </w:p>
        </w:tc>
        <w:tc>
          <w:tcPr>
            <w:tcW w:w="2268" w:type="dxa"/>
          </w:tcPr>
          <w:p w14:paraId="3744F91D" w14:textId="77777777" w:rsidR="0031079A" w:rsidRDefault="005C6F66">
            <w:pPr>
              <w:pBdr>
                <w:top w:val="nil"/>
                <w:left w:val="nil"/>
                <w:bottom w:val="nil"/>
                <w:right w:val="nil"/>
                <w:between w:val="nil"/>
              </w:pBdr>
              <w:spacing w:after="0" w:line="240" w:lineRule="auto"/>
              <w:jc w:val="right"/>
              <w:rPr>
                <w:rFonts w:ascii="Verdana" w:eastAsia="Verdana" w:hAnsi="Verdana" w:cs="Verdana"/>
                <w:sz w:val="18"/>
                <w:szCs w:val="18"/>
              </w:rPr>
            </w:pPr>
            <w:r>
              <w:rPr>
                <w:rFonts w:ascii="Verdana" w:eastAsia="Verdana" w:hAnsi="Verdana" w:cs="Verdana"/>
                <w:sz w:val="18"/>
                <w:szCs w:val="18"/>
              </w:rPr>
              <w:t>14.793,69 euro</w:t>
            </w:r>
          </w:p>
        </w:tc>
      </w:tr>
      <w:tr w:rsidR="0031079A" w14:paraId="7692CDF3" w14:textId="77777777">
        <w:tc>
          <w:tcPr>
            <w:tcW w:w="2268" w:type="dxa"/>
            <w:shd w:val="clear" w:color="auto" w:fill="auto"/>
            <w:tcMar>
              <w:top w:w="100" w:type="dxa"/>
              <w:left w:w="100" w:type="dxa"/>
              <w:bottom w:w="100" w:type="dxa"/>
              <w:right w:w="100" w:type="dxa"/>
            </w:tcMar>
          </w:tcPr>
          <w:p w14:paraId="139DD84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Large (L)</w:t>
            </w:r>
          </w:p>
        </w:tc>
        <w:tc>
          <w:tcPr>
            <w:tcW w:w="2268" w:type="dxa"/>
            <w:shd w:val="clear" w:color="auto" w:fill="auto"/>
            <w:tcMar>
              <w:top w:w="100" w:type="dxa"/>
              <w:left w:w="100" w:type="dxa"/>
              <w:bottom w:w="100" w:type="dxa"/>
              <w:right w:w="100" w:type="dxa"/>
            </w:tcMar>
          </w:tcPr>
          <w:p w14:paraId="297DD63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18</w:t>
            </w:r>
          </w:p>
        </w:tc>
        <w:tc>
          <w:tcPr>
            <w:tcW w:w="2268" w:type="dxa"/>
            <w:shd w:val="clear" w:color="auto" w:fill="auto"/>
            <w:tcMar>
              <w:top w:w="100" w:type="dxa"/>
              <w:left w:w="100" w:type="dxa"/>
              <w:bottom w:w="100" w:type="dxa"/>
              <w:right w:w="100" w:type="dxa"/>
            </w:tcMar>
          </w:tcPr>
          <w:p w14:paraId="5B8F899E"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6</w:t>
            </w:r>
          </w:p>
        </w:tc>
        <w:tc>
          <w:tcPr>
            <w:tcW w:w="2268" w:type="dxa"/>
          </w:tcPr>
          <w:p w14:paraId="2C9F4E7D" w14:textId="77777777" w:rsidR="0031079A" w:rsidRDefault="005C6F66">
            <w:pPr>
              <w:pBdr>
                <w:top w:val="nil"/>
                <w:left w:val="nil"/>
                <w:bottom w:val="nil"/>
                <w:right w:val="nil"/>
                <w:between w:val="nil"/>
              </w:pBdr>
              <w:spacing w:after="0" w:line="240" w:lineRule="auto"/>
              <w:jc w:val="right"/>
              <w:rPr>
                <w:rFonts w:ascii="Verdana" w:eastAsia="Verdana" w:hAnsi="Verdana" w:cs="Verdana"/>
                <w:sz w:val="18"/>
                <w:szCs w:val="18"/>
              </w:rPr>
            </w:pPr>
            <w:r>
              <w:rPr>
                <w:rFonts w:ascii="Verdana" w:eastAsia="Verdana" w:hAnsi="Verdana" w:cs="Verdana"/>
                <w:sz w:val="18"/>
                <w:szCs w:val="18"/>
              </w:rPr>
              <w:t>44.381,06 euro</w:t>
            </w:r>
          </w:p>
        </w:tc>
      </w:tr>
      <w:tr w:rsidR="0031079A" w14:paraId="0B0548EF" w14:textId="77777777">
        <w:tc>
          <w:tcPr>
            <w:tcW w:w="2268" w:type="dxa"/>
            <w:shd w:val="clear" w:color="auto" w:fill="auto"/>
            <w:tcMar>
              <w:top w:w="100" w:type="dxa"/>
              <w:left w:w="100" w:type="dxa"/>
              <w:bottom w:w="100" w:type="dxa"/>
              <w:right w:w="100" w:type="dxa"/>
            </w:tcMar>
          </w:tcPr>
          <w:p w14:paraId="78F3DA7C"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Extra large (XL)</w:t>
            </w:r>
          </w:p>
        </w:tc>
        <w:tc>
          <w:tcPr>
            <w:tcW w:w="2268" w:type="dxa"/>
            <w:shd w:val="clear" w:color="auto" w:fill="auto"/>
            <w:tcMar>
              <w:top w:w="100" w:type="dxa"/>
              <w:left w:w="100" w:type="dxa"/>
              <w:bottom w:w="100" w:type="dxa"/>
              <w:right w:w="100" w:type="dxa"/>
            </w:tcMar>
          </w:tcPr>
          <w:p w14:paraId="3E11C6F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39</w:t>
            </w:r>
          </w:p>
        </w:tc>
        <w:tc>
          <w:tcPr>
            <w:tcW w:w="2268" w:type="dxa"/>
            <w:shd w:val="clear" w:color="auto" w:fill="auto"/>
            <w:tcMar>
              <w:top w:w="100" w:type="dxa"/>
              <w:left w:w="100" w:type="dxa"/>
              <w:bottom w:w="100" w:type="dxa"/>
              <w:right w:w="100" w:type="dxa"/>
            </w:tcMar>
          </w:tcPr>
          <w:p w14:paraId="4B0A3484"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13</w:t>
            </w:r>
          </w:p>
        </w:tc>
        <w:tc>
          <w:tcPr>
            <w:tcW w:w="2268" w:type="dxa"/>
          </w:tcPr>
          <w:p w14:paraId="618D766E" w14:textId="77777777" w:rsidR="0031079A" w:rsidRDefault="005C6F66">
            <w:pPr>
              <w:pBdr>
                <w:top w:val="nil"/>
                <w:left w:val="nil"/>
                <w:bottom w:val="nil"/>
                <w:right w:val="nil"/>
                <w:between w:val="nil"/>
              </w:pBdr>
              <w:spacing w:after="0" w:line="240" w:lineRule="auto"/>
              <w:jc w:val="right"/>
              <w:rPr>
                <w:rFonts w:ascii="Verdana" w:eastAsia="Verdana" w:hAnsi="Verdana" w:cs="Verdana"/>
                <w:sz w:val="18"/>
                <w:szCs w:val="18"/>
              </w:rPr>
            </w:pPr>
            <w:r>
              <w:rPr>
                <w:rFonts w:ascii="Verdana" w:eastAsia="Verdana" w:hAnsi="Verdana" w:cs="Verdana"/>
                <w:sz w:val="18"/>
                <w:szCs w:val="18"/>
              </w:rPr>
              <w:t>96.158,96 euro</w:t>
            </w:r>
          </w:p>
        </w:tc>
      </w:tr>
    </w:tbl>
    <w:p w14:paraId="64CBACAC"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ab/>
      </w:r>
    </w:p>
    <w:p w14:paraId="74AC36FF" w14:textId="77777777" w:rsidR="0031079A" w:rsidRDefault="0031079A">
      <w:pPr>
        <w:spacing w:after="0" w:line="240" w:lineRule="auto"/>
        <w:jc w:val="both"/>
        <w:rPr>
          <w:rFonts w:ascii="Verdana" w:eastAsia="Verdana" w:hAnsi="Verdana" w:cs="Verdana"/>
          <w:sz w:val="18"/>
          <w:szCs w:val="18"/>
        </w:rPr>
      </w:pPr>
    </w:p>
    <w:p w14:paraId="0DC6BFCA" w14:textId="77777777" w:rsidR="0031079A" w:rsidRDefault="005C6F66">
      <w:pPr>
        <w:spacing w:after="0" w:line="240" w:lineRule="auto"/>
        <w:jc w:val="both"/>
        <w:rPr>
          <w:rFonts w:ascii="Verdana" w:eastAsia="Verdana" w:hAnsi="Verdana" w:cs="Verdana"/>
          <w:b/>
        </w:rPr>
      </w:pPr>
      <w:r>
        <w:rPr>
          <w:rFonts w:ascii="Verdana" w:eastAsia="Verdana" w:hAnsi="Verdana" w:cs="Verdana"/>
          <w:b/>
        </w:rPr>
        <w:t>Financiële en beleidsinformatie</w:t>
      </w:r>
    </w:p>
    <w:p w14:paraId="1CB85245" w14:textId="77777777" w:rsidR="0031079A" w:rsidRDefault="0031079A">
      <w:pPr>
        <w:spacing w:after="0" w:line="240" w:lineRule="auto"/>
        <w:jc w:val="both"/>
        <w:rPr>
          <w:rFonts w:ascii="Verdana" w:eastAsia="Verdana" w:hAnsi="Verdana" w:cs="Verdana"/>
          <w:sz w:val="18"/>
          <w:szCs w:val="18"/>
        </w:rPr>
      </w:pPr>
    </w:p>
    <w:p w14:paraId="6638E925" w14:textId="77777777" w:rsidR="0031079A" w:rsidRDefault="005C6F66">
      <w:pPr>
        <w:spacing w:after="0" w:line="240" w:lineRule="auto"/>
        <w:jc w:val="both"/>
        <w:rPr>
          <w:rFonts w:ascii="Verdana" w:eastAsia="Verdana" w:hAnsi="Verdana" w:cs="Verdana"/>
          <w:color w:val="003399"/>
          <w:sz w:val="18"/>
          <w:szCs w:val="18"/>
        </w:rPr>
      </w:pPr>
      <w:r>
        <w:rPr>
          <w:rFonts w:ascii="Verdana" w:eastAsia="Verdana" w:hAnsi="Verdana" w:cs="Verdana"/>
          <w:color w:val="003399"/>
          <w:sz w:val="18"/>
          <w:szCs w:val="18"/>
        </w:rPr>
        <w:t>FINANCIERING</w:t>
      </w:r>
    </w:p>
    <w:p w14:paraId="3055269B" w14:textId="77777777" w:rsidR="0031079A" w:rsidRDefault="0031079A">
      <w:pPr>
        <w:spacing w:after="0" w:line="240" w:lineRule="auto"/>
        <w:jc w:val="both"/>
        <w:rPr>
          <w:rFonts w:ascii="Verdana" w:eastAsia="Verdana" w:hAnsi="Verdana" w:cs="Verdana"/>
          <w:sz w:val="18"/>
          <w:szCs w:val="18"/>
        </w:rPr>
      </w:pPr>
    </w:p>
    <w:p w14:paraId="4DB6CCF1"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lastRenderedPageBreak/>
        <w:t>Voor de oproep ‘Opstart Gemeenschapsdienst lokale besturen’ is een budget beschikbaar van 5 miljoen euro Europese REACT EU-middelen. Deze behoeven geen cofinanciering. Dit dossier wordt gefinancierd door 100% REACT EU-middelen.</w:t>
      </w:r>
    </w:p>
    <w:p w14:paraId="78E1221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Het ter beschikking gestelde</w:t>
      </w:r>
      <w:r>
        <w:rPr>
          <w:rFonts w:ascii="Verdana" w:eastAsia="Verdana" w:hAnsi="Verdana" w:cs="Verdana"/>
          <w:sz w:val="18"/>
          <w:szCs w:val="18"/>
        </w:rPr>
        <w:t xml:space="preserve"> budget per lokaal bestuur is afhankelijk van de gekozen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formule (zie bovenstaande kader).</w:t>
      </w:r>
    </w:p>
    <w:p w14:paraId="6FE51BA6" w14:textId="77777777" w:rsidR="0031079A" w:rsidRDefault="0031079A">
      <w:pPr>
        <w:spacing w:after="0" w:line="240" w:lineRule="auto"/>
        <w:jc w:val="both"/>
        <w:rPr>
          <w:rFonts w:ascii="Verdana" w:eastAsia="Verdana" w:hAnsi="Verdana" w:cs="Verdana"/>
          <w:sz w:val="18"/>
          <w:szCs w:val="18"/>
        </w:rPr>
      </w:pPr>
    </w:p>
    <w:p w14:paraId="4362AD1C"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Na ondertekening van de projectovereenkomst door de Managementautoriteit ESF ontvangt de gemeente/stad/ OCMW/ district onder de vorm van voorschot van Euro</w:t>
      </w:r>
      <w:r>
        <w:rPr>
          <w:rFonts w:ascii="Verdana" w:eastAsia="Verdana" w:hAnsi="Verdana" w:cs="Verdana"/>
          <w:sz w:val="18"/>
          <w:szCs w:val="18"/>
        </w:rPr>
        <w:t xml:space="preserve">pa WSE 80% van de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w:t>
      </w:r>
    </w:p>
    <w:p w14:paraId="3B97E41D" w14:textId="77777777" w:rsidR="0031079A" w:rsidRDefault="0031079A">
      <w:pPr>
        <w:spacing w:after="0" w:line="240" w:lineRule="auto"/>
        <w:jc w:val="both"/>
        <w:rPr>
          <w:rFonts w:ascii="Verdana" w:eastAsia="Verdana" w:hAnsi="Verdana" w:cs="Verdana"/>
          <w:sz w:val="18"/>
          <w:szCs w:val="18"/>
        </w:rPr>
      </w:pPr>
    </w:p>
    <w:p w14:paraId="4D16F750"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Zodra mogelijk en uiterlijk 31/12/2023 wordt de vereiste output opgeleverd.</w:t>
      </w:r>
    </w:p>
    <w:p w14:paraId="051A9C8C"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 rapportering wordt ingediend via de ESF-applicatie. De output wordt opgeladen in de digitale ESF-archiefruimte.</w:t>
      </w:r>
    </w:p>
    <w:p w14:paraId="68F44A39" w14:textId="77777777" w:rsidR="0031079A" w:rsidRDefault="0031079A">
      <w:pPr>
        <w:spacing w:after="0" w:line="240" w:lineRule="auto"/>
        <w:jc w:val="both"/>
        <w:rPr>
          <w:rFonts w:ascii="Verdana" w:eastAsia="Verdana" w:hAnsi="Verdana" w:cs="Verdana"/>
          <w:sz w:val="18"/>
          <w:szCs w:val="18"/>
        </w:rPr>
      </w:pPr>
    </w:p>
    <w:p w14:paraId="7ED062B7"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In de periode januari tot en met m</w:t>
      </w:r>
      <w:r>
        <w:rPr>
          <w:rFonts w:ascii="Verdana" w:eastAsia="Verdana" w:hAnsi="Verdana" w:cs="Verdana"/>
          <w:sz w:val="18"/>
          <w:szCs w:val="18"/>
        </w:rPr>
        <w:t xml:space="preserve">aart 2024 wordt de realisatie gecontroleerd door de Vlaamse Sociale Inspectie. Men zal de vereiste output ten behoeve van de aangevraagde </w:t>
      </w:r>
      <w:proofErr w:type="spellStart"/>
      <w:r>
        <w:rPr>
          <w:rFonts w:ascii="Verdana" w:eastAsia="Verdana" w:hAnsi="Verdana" w:cs="Verdana"/>
          <w:sz w:val="18"/>
          <w:szCs w:val="18"/>
        </w:rPr>
        <w:t>lump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sum</w:t>
      </w:r>
      <w:proofErr w:type="spellEnd"/>
      <w:r>
        <w:rPr>
          <w:rFonts w:ascii="Verdana" w:eastAsia="Verdana" w:hAnsi="Verdana" w:cs="Verdana"/>
          <w:sz w:val="18"/>
          <w:szCs w:val="18"/>
        </w:rPr>
        <w:t xml:space="preserve"> controleren en beslissen of deze toegekend kan blijven of teruggevorderd wordt.</w:t>
      </w:r>
    </w:p>
    <w:p w14:paraId="1B6809E8" w14:textId="77777777" w:rsidR="0031079A" w:rsidRDefault="0031079A">
      <w:pPr>
        <w:spacing w:after="0" w:line="240" w:lineRule="auto"/>
        <w:jc w:val="both"/>
        <w:rPr>
          <w:rFonts w:ascii="Verdana" w:eastAsia="Verdana" w:hAnsi="Verdana" w:cs="Verdana"/>
          <w:sz w:val="18"/>
          <w:szCs w:val="18"/>
        </w:rPr>
      </w:pPr>
    </w:p>
    <w:p w14:paraId="0150D3D7" w14:textId="77777777" w:rsidR="0031079A" w:rsidRDefault="0031079A">
      <w:pPr>
        <w:spacing w:after="0" w:line="240" w:lineRule="auto"/>
        <w:jc w:val="both"/>
        <w:rPr>
          <w:rFonts w:ascii="Verdana" w:eastAsia="Verdana" w:hAnsi="Verdana" w:cs="Verdana"/>
          <w:sz w:val="18"/>
          <w:szCs w:val="18"/>
        </w:rPr>
      </w:pPr>
    </w:p>
    <w:p w14:paraId="14DB8852" w14:textId="77777777" w:rsidR="0031079A" w:rsidRDefault="005C6F66">
      <w:pPr>
        <w:spacing w:after="0" w:line="240" w:lineRule="auto"/>
        <w:jc w:val="both"/>
        <w:rPr>
          <w:rFonts w:ascii="Verdana" w:eastAsia="Verdana" w:hAnsi="Verdana" w:cs="Verdana"/>
          <w:b/>
        </w:rPr>
      </w:pPr>
      <w:r>
        <w:rPr>
          <w:rFonts w:ascii="Verdana" w:eastAsia="Verdana" w:hAnsi="Verdana" w:cs="Verdana"/>
          <w:b/>
        </w:rPr>
        <w:t>Besluit</w:t>
      </w:r>
    </w:p>
    <w:p w14:paraId="45096185" w14:textId="77777777" w:rsidR="0031079A" w:rsidRDefault="0031079A">
      <w:pPr>
        <w:spacing w:after="0" w:line="240" w:lineRule="auto"/>
        <w:jc w:val="both"/>
        <w:rPr>
          <w:rFonts w:ascii="Verdana" w:eastAsia="Verdana" w:hAnsi="Verdana" w:cs="Verdana"/>
          <w:sz w:val="18"/>
          <w:szCs w:val="18"/>
        </w:rPr>
      </w:pPr>
    </w:p>
    <w:p w14:paraId="13EF0559" w14:textId="77777777" w:rsidR="0031079A" w:rsidRDefault="0031079A">
      <w:pPr>
        <w:spacing w:after="0" w:line="240" w:lineRule="auto"/>
        <w:jc w:val="both"/>
        <w:rPr>
          <w:rFonts w:ascii="Verdana" w:eastAsia="Verdana" w:hAnsi="Verdana" w:cs="Verdana"/>
          <w:sz w:val="18"/>
          <w:szCs w:val="18"/>
        </w:rPr>
      </w:pPr>
    </w:p>
    <w:p w14:paraId="53ACD0D7"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b/>
          <w:sz w:val="18"/>
          <w:szCs w:val="18"/>
        </w:rPr>
        <w:t>Artikel 1</w:t>
      </w:r>
    </w:p>
    <w:p w14:paraId="27D4BA13"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rPr>
        <w:t>De geme</w:t>
      </w:r>
      <w:r>
        <w:rPr>
          <w:rFonts w:ascii="Verdana" w:eastAsia="Verdana" w:hAnsi="Verdana" w:cs="Verdana"/>
          <w:sz w:val="18"/>
          <w:szCs w:val="18"/>
        </w:rPr>
        <w:t>enteraad OF Raad voor Maatschappelijk Welzijn neemt kennis van de goedkeuring van het EUROPA WSE project Opstart Gemeenschapsdienst Lokale Besturen met een projectbudget van xx euro (100% subsidie).</w:t>
      </w:r>
    </w:p>
    <w:p w14:paraId="26F328F2" w14:textId="77777777" w:rsidR="0031079A" w:rsidRDefault="0031079A">
      <w:pPr>
        <w:spacing w:after="0" w:line="240" w:lineRule="auto"/>
        <w:jc w:val="both"/>
        <w:rPr>
          <w:rFonts w:ascii="Verdana" w:eastAsia="Verdana" w:hAnsi="Verdana" w:cs="Verdana"/>
          <w:sz w:val="18"/>
          <w:szCs w:val="18"/>
        </w:rPr>
      </w:pPr>
    </w:p>
    <w:p w14:paraId="59768EAD" w14:textId="77777777" w:rsidR="0031079A" w:rsidRDefault="005C6F66">
      <w:pPr>
        <w:spacing w:after="0" w:line="240" w:lineRule="auto"/>
        <w:jc w:val="both"/>
        <w:rPr>
          <w:rFonts w:ascii="Verdana" w:eastAsia="Verdana" w:hAnsi="Verdana" w:cs="Verdana"/>
          <w:b/>
        </w:rPr>
      </w:pPr>
      <w:r>
        <w:rPr>
          <w:rFonts w:ascii="Verdana" w:eastAsia="Verdana" w:hAnsi="Verdana" w:cs="Verdana"/>
          <w:b/>
        </w:rPr>
        <w:t>Bijlage</w:t>
      </w:r>
    </w:p>
    <w:p w14:paraId="344C569E" w14:textId="77777777" w:rsidR="0031079A" w:rsidRDefault="0031079A">
      <w:pPr>
        <w:spacing w:after="0" w:line="240" w:lineRule="auto"/>
        <w:jc w:val="both"/>
        <w:rPr>
          <w:rFonts w:ascii="Verdana" w:eastAsia="Verdana" w:hAnsi="Verdana" w:cs="Verdana"/>
          <w:b/>
        </w:rPr>
      </w:pPr>
    </w:p>
    <w:p w14:paraId="6FA3C815" w14:textId="77777777" w:rsidR="0031079A" w:rsidRDefault="005C6F66">
      <w:pPr>
        <w:spacing w:after="0" w:line="240" w:lineRule="auto"/>
        <w:jc w:val="both"/>
        <w:rPr>
          <w:rFonts w:ascii="Verdana" w:eastAsia="Verdana" w:hAnsi="Verdana" w:cs="Verdana"/>
          <w:b/>
          <w:highlight w:val="yellow"/>
        </w:rPr>
      </w:pPr>
      <w:r>
        <w:rPr>
          <w:rFonts w:ascii="Verdana" w:eastAsia="Verdana" w:hAnsi="Verdana" w:cs="Verdana"/>
          <w:sz w:val="18"/>
          <w:szCs w:val="18"/>
          <w:highlight w:val="yellow"/>
        </w:rPr>
        <w:t>Projectovereenkomst</w:t>
      </w:r>
    </w:p>
    <w:p w14:paraId="793FC1EA" w14:textId="77777777" w:rsidR="0031079A" w:rsidRDefault="0031079A">
      <w:pPr>
        <w:spacing w:after="0" w:line="240" w:lineRule="auto"/>
        <w:jc w:val="both"/>
        <w:rPr>
          <w:rFonts w:ascii="Verdana" w:eastAsia="Verdana" w:hAnsi="Verdana" w:cs="Verdana"/>
          <w:b/>
        </w:rPr>
      </w:pPr>
    </w:p>
    <w:p w14:paraId="1DFF2A9E" w14:textId="77777777" w:rsidR="0031079A" w:rsidRDefault="005C6F66">
      <w:pPr>
        <w:spacing w:after="0" w:line="240" w:lineRule="auto"/>
        <w:jc w:val="both"/>
        <w:rPr>
          <w:rFonts w:ascii="Verdana" w:eastAsia="Verdana" w:hAnsi="Verdana" w:cs="Verdana"/>
          <w:b/>
        </w:rPr>
      </w:pPr>
      <w:r>
        <w:rPr>
          <w:rFonts w:ascii="Verdana" w:eastAsia="Verdana" w:hAnsi="Verdana" w:cs="Verdana"/>
          <w:b/>
        </w:rPr>
        <w:t>Gekoppelde besluiten</w:t>
      </w:r>
    </w:p>
    <w:p w14:paraId="6112A592" w14:textId="77777777" w:rsidR="0031079A" w:rsidRDefault="0031079A">
      <w:pPr>
        <w:spacing w:after="0" w:line="240" w:lineRule="auto"/>
        <w:jc w:val="both"/>
        <w:rPr>
          <w:rFonts w:ascii="Verdana" w:eastAsia="Verdana" w:hAnsi="Verdana" w:cs="Verdana"/>
          <w:b/>
        </w:rPr>
      </w:pPr>
    </w:p>
    <w:p w14:paraId="2366B865" w14:textId="77777777" w:rsidR="0031079A" w:rsidRDefault="005C6F66">
      <w:pPr>
        <w:spacing w:after="0" w:line="240" w:lineRule="auto"/>
        <w:jc w:val="both"/>
        <w:rPr>
          <w:rFonts w:ascii="Verdana" w:eastAsia="Verdana" w:hAnsi="Verdana" w:cs="Verdana"/>
          <w:sz w:val="18"/>
          <w:szCs w:val="18"/>
        </w:rPr>
      </w:pPr>
      <w:r>
        <w:rPr>
          <w:rFonts w:ascii="Verdana" w:eastAsia="Verdana" w:hAnsi="Verdana" w:cs="Verdana"/>
          <w:sz w:val="18"/>
          <w:szCs w:val="18"/>
          <w:highlight w:val="yellow"/>
        </w:rPr>
        <w:t>Numm</w:t>
      </w:r>
      <w:r>
        <w:rPr>
          <w:rFonts w:ascii="Verdana" w:eastAsia="Verdana" w:hAnsi="Verdana" w:cs="Verdana"/>
          <w:sz w:val="18"/>
          <w:szCs w:val="18"/>
          <w:highlight w:val="yellow"/>
        </w:rPr>
        <w:t>ering besluit</w:t>
      </w:r>
      <w:r>
        <w:rPr>
          <w:rFonts w:ascii="Verdana" w:eastAsia="Verdana" w:hAnsi="Verdana" w:cs="Verdana"/>
          <w:sz w:val="18"/>
          <w:szCs w:val="18"/>
        </w:rPr>
        <w:t xml:space="preserve"> - goedkeuring indiening ESF-dossier 572  - Opstart Gemeenschapsdienst Lokale Besturen</w:t>
      </w:r>
    </w:p>
    <w:p w14:paraId="36BCB2D0" w14:textId="77777777" w:rsidR="0031079A" w:rsidRDefault="0031079A">
      <w:pPr>
        <w:spacing w:after="0" w:line="240" w:lineRule="auto"/>
        <w:jc w:val="both"/>
        <w:rPr>
          <w:rFonts w:ascii="Verdana" w:eastAsia="Verdana" w:hAnsi="Verdana" w:cs="Verdana"/>
          <w:sz w:val="18"/>
          <w:szCs w:val="18"/>
        </w:rPr>
      </w:pPr>
    </w:p>
    <w:p w14:paraId="0024B147" w14:textId="77777777" w:rsidR="0031079A" w:rsidRDefault="0031079A">
      <w:pPr>
        <w:spacing w:after="0" w:line="240" w:lineRule="auto"/>
        <w:rPr>
          <w:rFonts w:ascii="Verdana" w:eastAsia="Verdana" w:hAnsi="Verdana" w:cs="Verdana"/>
          <w:sz w:val="18"/>
          <w:szCs w:val="18"/>
        </w:rPr>
      </w:pPr>
    </w:p>
    <w:p w14:paraId="1AB1B0DC" w14:textId="77777777" w:rsidR="0031079A" w:rsidRDefault="005C6F66">
      <w:pPr>
        <w:spacing w:after="0" w:line="240" w:lineRule="auto"/>
        <w:rPr>
          <w:rFonts w:ascii="Verdana" w:eastAsia="Verdana" w:hAnsi="Verdana" w:cs="Verdana"/>
          <w:sz w:val="18"/>
          <w:szCs w:val="18"/>
        </w:rPr>
      </w:pPr>
      <w:r>
        <w:rPr>
          <w:rFonts w:ascii="Verdana" w:eastAsia="Verdana" w:hAnsi="Verdana" w:cs="Verdana"/>
          <w:sz w:val="18"/>
          <w:szCs w:val="18"/>
        </w:rPr>
        <w:t>Aldus beslist in bovenvermelde zitting,</w:t>
      </w:r>
    </w:p>
    <w:p w14:paraId="2DDAA704" w14:textId="77777777" w:rsidR="0031079A" w:rsidRDefault="0031079A">
      <w:pPr>
        <w:spacing w:after="0" w:line="240" w:lineRule="auto"/>
        <w:rPr>
          <w:rFonts w:ascii="Verdana" w:eastAsia="Verdana" w:hAnsi="Verdana" w:cs="Verdana"/>
          <w:sz w:val="18"/>
          <w:szCs w:val="18"/>
        </w:rPr>
      </w:pPr>
    </w:p>
    <w:p w14:paraId="38460411" w14:textId="77777777" w:rsidR="0031079A" w:rsidRDefault="005C6F66">
      <w:pPr>
        <w:spacing w:after="0" w:line="240" w:lineRule="auto"/>
        <w:rPr>
          <w:rFonts w:ascii="Verdana" w:eastAsia="Verdana" w:hAnsi="Verdana" w:cs="Verdana"/>
          <w:sz w:val="18"/>
          <w:szCs w:val="18"/>
        </w:rPr>
      </w:pPr>
      <w:r>
        <w:rPr>
          <w:rFonts w:ascii="Verdana" w:eastAsia="Verdana" w:hAnsi="Verdana" w:cs="Verdana"/>
          <w:sz w:val="18"/>
          <w:szCs w:val="18"/>
        </w:rPr>
        <w:t>Namens de Gemeenteraad OF Raad voor Maatschappelijk Welzijn</w:t>
      </w:r>
    </w:p>
    <w:p w14:paraId="7116E22E" w14:textId="77777777" w:rsidR="0031079A" w:rsidRDefault="0031079A">
      <w:pPr>
        <w:spacing w:after="0" w:line="240" w:lineRule="auto"/>
        <w:rPr>
          <w:rFonts w:ascii="Verdana" w:eastAsia="Verdana" w:hAnsi="Verdana" w:cs="Verdana"/>
          <w:sz w:val="18"/>
          <w:szCs w:val="18"/>
        </w:rPr>
      </w:pPr>
    </w:p>
    <w:p w14:paraId="15EFEF08" w14:textId="77777777" w:rsidR="0031079A" w:rsidRDefault="005C6F66">
      <w:pPr>
        <w:spacing w:after="0" w:line="240" w:lineRule="auto"/>
        <w:rPr>
          <w:rFonts w:ascii="Verdana" w:eastAsia="Verdana" w:hAnsi="Verdana" w:cs="Verdana"/>
          <w:sz w:val="18"/>
          <w:szCs w:val="18"/>
        </w:rPr>
      </w:pPr>
      <w:r>
        <w:rPr>
          <w:rFonts w:ascii="Verdana" w:eastAsia="Verdana" w:hAnsi="Verdana" w:cs="Verdana"/>
          <w:sz w:val="18"/>
          <w:szCs w:val="18"/>
        </w:rPr>
        <w:t>Algemeen directeur Stad en OCMW  en  Voorzitter gemeenteraad OF Voorzitter Raad voor Maatschappelijk Welzijn</w:t>
      </w:r>
    </w:p>
    <w:p w14:paraId="30B1C42C" w14:textId="77777777" w:rsidR="0031079A" w:rsidRDefault="0031079A">
      <w:pPr>
        <w:spacing w:after="0" w:line="240" w:lineRule="auto"/>
        <w:rPr>
          <w:rFonts w:ascii="Verdana" w:eastAsia="Verdana" w:hAnsi="Verdana" w:cs="Verdana"/>
          <w:sz w:val="18"/>
          <w:szCs w:val="18"/>
        </w:rPr>
      </w:pPr>
    </w:p>
    <w:p w14:paraId="2EBFA3A7" w14:textId="77777777" w:rsidR="0031079A" w:rsidRDefault="0031079A">
      <w:pPr>
        <w:spacing w:after="0" w:line="240" w:lineRule="auto"/>
        <w:rPr>
          <w:rFonts w:ascii="Verdana" w:eastAsia="Verdana" w:hAnsi="Verdana" w:cs="Verdana"/>
          <w:color w:val="000000"/>
          <w:sz w:val="18"/>
          <w:szCs w:val="18"/>
        </w:rPr>
      </w:pPr>
    </w:p>
    <w:sectPr w:rsidR="0031079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A7E"/>
    <w:multiLevelType w:val="multilevel"/>
    <w:tmpl w:val="4B86D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812575"/>
    <w:multiLevelType w:val="multilevel"/>
    <w:tmpl w:val="5F6AE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9A"/>
    <w:rsid w:val="0031079A"/>
    <w:rsid w:val="005C6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87B6"/>
  <w15:docId w15:val="{0DCAE5D7-83B6-4A5B-9EC8-7A7AB052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f.vlaanderen.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Oy7oxPaQ54Qj+S9jl9ysNQtmg==">AMUW2mWURf8BwwgdwrSJNVINdDNMNveri6zK/Z0TP3oYUpKCilbl4zrGx3OFvm5jwty/xQDnQNE2QR79UJoFM5a8voFaXXnifIPENxo3KTduLvb5O1UEY0s=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6" ma:contentTypeDescription="Een nieuw document maken." ma:contentTypeScope="" ma:versionID="61a8b8d817dbde5bc287b5cd93dff5bb">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afa355c8e75850b0eaa2e01dedd0fff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766265-1FE5-4754-B810-24AD39B1B829}">
  <ds:schemaRefs>
    <ds:schemaRef ds:uri="http://schemas.microsoft.com/sharepoint/v3/contenttype/forms"/>
  </ds:schemaRefs>
</ds:datastoreItem>
</file>

<file path=customXml/itemProps3.xml><?xml version="1.0" encoding="utf-8"?>
<ds:datastoreItem xmlns:ds="http://schemas.openxmlformats.org/officeDocument/2006/customXml" ds:itemID="{2E633EA5-09F5-469D-B7DA-18D250F9DF12}"/>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5808</Characters>
  <Application>Microsoft Office Word</Application>
  <DocSecurity>0</DocSecurity>
  <Lines>48</Lines>
  <Paragraphs>13</Paragraphs>
  <ScaleCrop>false</ScaleCrop>
  <Company>Vlaamse overheid</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Contipelli Fabio</dc:creator>
  <cp:lastModifiedBy>Meyers Caroline</cp:lastModifiedBy>
  <cp:revision>2</cp:revision>
  <dcterms:created xsi:type="dcterms:W3CDTF">2023-03-03T16:39:00Z</dcterms:created>
  <dcterms:modified xsi:type="dcterms:W3CDTF">2023-03-03T16:39:00Z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0x01010090C9EF7C6476C640976C1F5F9CA93A79</vt:lpwstr>
  </property>
</Properties>
</file>